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</w:rPr>
        <w:t>志愿填报App广告及短信推送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4004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27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44BF57D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项目名称：志愿填报App广告及短信推送项目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：精准对接生源，在志愿填报相关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APP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进行广告推送，要求APP覆盖面广，用户量不低于200万，并且针对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APP注册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用户进行精准短信推送5000条左右。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22000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73C131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</w:t>
      </w:r>
    </w:p>
    <w:p w14:paraId="3FAB2B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6.</w:t>
      </w:r>
      <w:r>
        <w:rPr>
          <w:rFonts w:hint="default" w:ascii="Arial" w:hAnsi="Arial" w:cs="Arial"/>
          <w:color w:val="000000"/>
          <w:sz w:val="22"/>
          <w:szCs w:val="22"/>
        </w:rPr>
        <w:t>服务要求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：按照学校需求提供可选择广告版位，服务发布后需反馈广告截图及后台数据。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3.单位</w:t>
      </w:r>
      <w:r>
        <w:rPr>
          <w:rFonts w:hint="default" w:ascii="Arial" w:hAnsi="Arial" w:cs="Arial"/>
          <w:color w:val="000000"/>
          <w:sz w:val="22"/>
          <w:szCs w:val="22"/>
        </w:rPr>
        <w:t>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30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2.供应商</w:t>
      </w:r>
      <w:r>
        <w:rPr>
          <w:rFonts w:hint="default" w:ascii="Arial" w:hAnsi="Arial" w:cs="Arial"/>
          <w:color w:val="000000"/>
          <w:sz w:val="22"/>
          <w:szCs w:val="22"/>
        </w:rPr>
        <w:t>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05D83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</w:t>
      </w:r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1436450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bookmarkStart w:id="8" w:name="_GoBack"/>
      <w:bookmarkEnd w:id="8"/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27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5B85"/>
    <w:rsid w:val="05EF5DBD"/>
    <w:rsid w:val="076E25E8"/>
    <w:rsid w:val="07B0770E"/>
    <w:rsid w:val="08B80F70"/>
    <w:rsid w:val="0B6E5FE8"/>
    <w:rsid w:val="0B9B0645"/>
    <w:rsid w:val="0BB73761"/>
    <w:rsid w:val="0C782EF0"/>
    <w:rsid w:val="120D4FB9"/>
    <w:rsid w:val="12EF558E"/>
    <w:rsid w:val="14B720DC"/>
    <w:rsid w:val="17321AB6"/>
    <w:rsid w:val="19B72C58"/>
    <w:rsid w:val="1A6C5716"/>
    <w:rsid w:val="1DEC2ABC"/>
    <w:rsid w:val="1EE6018D"/>
    <w:rsid w:val="25D849FC"/>
    <w:rsid w:val="29D044F2"/>
    <w:rsid w:val="2F3A598B"/>
    <w:rsid w:val="349873DC"/>
    <w:rsid w:val="38786EA3"/>
    <w:rsid w:val="3C5D0633"/>
    <w:rsid w:val="3D503B33"/>
    <w:rsid w:val="3D7123FC"/>
    <w:rsid w:val="3EAB5B7C"/>
    <w:rsid w:val="408F1FDB"/>
    <w:rsid w:val="40D4197F"/>
    <w:rsid w:val="467D773A"/>
    <w:rsid w:val="4803505C"/>
    <w:rsid w:val="48B14669"/>
    <w:rsid w:val="4DDF2FB6"/>
    <w:rsid w:val="4EE4617A"/>
    <w:rsid w:val="553736E9"/>
    <w:rsid w:val="572D5C52"/>
    <w:rsid w:val="59590F80"/>
    <w:rsid w:val="5B5E63DA"/>
    <w:rsid w:val="5D2A7277"/>
    <w:rsid w:val="5E351409"/>
    <w:rsid w:val="5E865022"/>
    <w:rsid w:val="61312C40"/>
    <w:rsid w:val="61A935C5"/>
    <w:rsid w:val="62A3448C"/>
    <w:rsid w:val="63626C83"/>
    <w:rsid w:val="68190258"/>
    <w:rsid w:val="69521573"/>
    <w:rsid w:val="6B7227BC"/>
    <w:rsid w:val="6D0F434C"/>
    <w:rsid w:val="6D413556"/>
    <w:rsid w:val="7379604F"/>
    <w:rsid w:val="73DB72A3"/>
    <w:rsid w:val="748368B4"/>
    <w:rsid w:val="7ACC115A"/>
    <w:rsid w:val="7FC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1215</Characters>
  <Lines>0</Lines>
  <Paragraphs>0</Paragraphs>
  <TotalTime>19</TotalTime>
  <ScaleCrop>false</ScaleCrop>
  <LinksUpToDate>false</LinksUpToDate>
  <CharactersWithSpaces>1223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2026-04-28T01:41:46Z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2732B405B0E249EF80129E0E30843474_13</vt:lpwstr>
  </property>
</Properties>
</file>